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70" w:rsidRDefault="009C2670" w:rsidP="00257641">
      <w:pPr>
        <w:bidi/>
        <w:jc w:val="both"/>
        <w:rPr>
          <w:rFonts w:cstheme="minorHAnsi"/>
          <w:lang w:val="en" w:bidi="ar-JO"/>
        </w:rPr>
      </w:pPr>
      <w:r w:rsidRPr="00257641">
        <w:rPr>
          <w:rFonts w:cs="Calibri"/>
          <w:rtl/>
          <w:lang w:val="en" w:bidi="ar-JO"/>
        </w:rPr>
        <w:t xml:space="preserve">تتضمن المرحلة الأولى من النظام المطبق من قبل </w:t>
      </w:r>
      <w:r w:rsidRPr="00257641">
        <w:rPr>
          <w:rFonts w:cs="Calibri" w:hint="cs"/>
          <w:rtl/>
          <w:lang w:val="en" w:bidi="ar-JO"/>
        </w:rPr>
        <w:t>دائرة</w:t>
      </w:r>
      <w:r w:rsidRPr="00257641">
        <w:rPr>
          <w:rFonts w:cs="Calibri"/>
          <w:rtl/>
          <w:lang w:val="en" w:bidi="ar-JO"/>
        </w:rPr>
        <w:t xml:space="preserve"> العقود والتراخيص البترولية في منح التراخيص</w:t>
      </w:r>
      <w:r w:rsidR="00257641" w:rsidRPr="00257641">
        <w:rPr>
          <w:rFonts w:cs="Calibri" w:hint="cs"/>
          <w:rtl/>
          <w:lang w:val="en" w:bidi="ar-JO"/>
        </w:rPr>
        <w:t>،</w:t>
      </w:r>
      <w:r w:rsidR="00257641" w:rsidRPr="00257641">
        <w:rPr>
          <w:rFonts w:cs="Calibri"/>
          <w:rtl/>
          <w:lang w:val="en" w:bidi="ar-JO"/>
        </w:rPr>
        <w:t xml:space="preserve"> </w:t>
      </w:r>
      <w:r w:rsidRPr="00257641">
        <w:rPr>
          <w:rFonts w:cs="Calibri"/>
          <w:rtl/>
          <w:lang w:val="en" w:bidi="ar-JO"/>
        </w:rPr>
        <w:t xml:space="preserve">تأهيل شركات النفط الدولية للمشاركة في </w:t>
      </w:r>
      <w:r w:rsidR="00257641" w:rsidRPr="00257641">
        <w:rPr>
          <w:rFonts w:cs="Calibri" w:hint="cs"/>
          <w:rtl/>
          <w:lang w:val="en" w:bidi="ar-JO"/>
        </w:rPr>
        <w:t>جولة التراخيص</w:t>
      </w:r>
      <w:r w:rsidRPr="00257641">
        <w:rPr>
          <w:rFonts w:cs="Calibri"/>
          <w:rtl/>
          <w:lang w:val="en" w:bidi="ar-JO"/>
        </w:rPr>
        <w:t xml:space="preserve">. تتضمن مرحلة التأهيل مراجعة للوثائق المقدمة من </w:t>
      </w:r>
      <w:r w:rsidR="00257641" w:rsidRPr="00257641">
        <w:rPr>
          <w:rFonts w:cs="Calibri"/>
          <w:rtl/>
          <w:lang w:val="en" w:bidi="ar-JO"/>
        </w:rPr>
        <w:t xml:space="preserve">شركات النفط الدولية </w:t>
      </w:r>
      <w:r w:rsidRPr="00257641">
        <w:rPr>
          <w:rFonts w:cs="Calibri"/>
          <w:rtl/>
          <w:lang w:val="en" w:bidi="ar-JO"/>
        </w:rPr>
        <w:t>وتقييم</w:t>
      </w:r>
      <w:r w:rsidR="00257641" w:rsidRPr="00257641">
        <w:rPr>
          <w:rFonts w:cs="Calibri" w:hint="cs"/>
          <w:rtl/>
          <w:lang w:val="en" w:bidi="ar-JO"/>
        </w:rPr>
        <w:t>هم</w:t>
      </w:r>
      <w:r w:rsidRPr="00257641">
        <w:rPr>
          <w:rFonts w:cs="Calibri"/>
          <w:rtl/>
          <w:lang w:val="en" w:bidi="ar-JO"/>
        </w:rPr>
        <w:t xml:space="preserve"> على أساس المعايير </w:t>
      </w:r>
      <w:r w:rsidRPr="00257641">
        <w:rPr>
          <w:rFonts w:cs="Calibri" w:hint="cs"/>
          <w:rtl/>
          <w:lang w:val="en" w:bidi="ar-JO"/>
        </w:rPr>
        <w:t>التالية؛</w:t>
      </w:r>
      <w:r w:rsidRPr="00257641">
        <w:rPr>
          <w:rFonts w:cs="Calibri"/>
          <w:rtl/>
          <w:lang w:val="en" w:bidi="ar-JO"/>
        </w:rPr>
        <w:t xml:space="preserve"> </w:t>
      </w:r>
      <w:r w:rsidR="00257641" w:rsidRPr="00257641">
        <w:rPr>
          <w:rFonts w:cs="Calibri" w:hint="cs"/>
          <w:rtl/>
          <w:lang w:val="en" w:bidi="ar-JO"/>
        </w:rPr>
        <w:t>المعايير</w:t>
      </w:r>
      <w:r w:rsidRPr="00257641">
        <w:rPr>
          <w:rFonts w:cs="Calibri"/>
          <w:rtl/>
          <w:lang w:val="en" w:bidi="ar-JO"/>
        </w:rPr>
        <w:t xml:space="preserve"> القانونية </w:t>
      </w:r>
      <w:r w:rsidR="00257641" w:rsidRPr="00257641">
        <w:rPr>
          <w:rFonts w:cs="Calibri" w:hint="cs"/>
          <w:rtl/>
          <w:lang w:val="en" w:bidi="ar-JO"/>
        </w:rPr>
        <w:t>والفنية</w:t>
      </w:r>
      <w:r w:rsidRPr="00257641">
        <w:rPr>
          <w:rFonts w:cs="Calibri"/>
          <w:rtl/>
          <w:lang w:val="en" w:bidi="ar-JO"/>
        </w:rPr>
        <w:t xml:space="preserve"> والتدريب</w:t>
      </w:r>
      <w:r w:rsidR="00257641" w:rsidRPr="00257641">
        <w:rPr>
          <w:rFonts w:cs="Calibri" w:hint="cs"/>
          <w:rtl/>
          <w:lang w:val="en" w:bidi="ar-JO"/>
        </w:rPr>
        <w:t>ية</w:t>
      </w:r>
      <w:r w:rsidRPr="00257641">
        <w:rPr>
          <w:rFonts w:cs="Calibri"/>
          <w:rtl/>
          <w:lang w:val="en" w:bidi="ar-JO"/>
        </w:rPr>
        <w:t xml:space="preserve"> والمالية و</w:t>
      </w:r>
      <w:r w:rsidR="00257641" w:rsidRPr="00257641">
        <w:rPr>
          <w:rFonts w:cs="Calibri" w:hint="cs"/>
          <w:rtl/>
          <w:lang w:val="en" w:bidi="ar-JO"/>
        </w:rPr>
        <w:t>الصحة والسلامة البيئي</w:t>
      </w:r>
      <w:r w:rsidR="00257641" w:rsidRPr="00257641">
        <w:rPr>
          <w:rFonts w:cs="Calibri" w:hint="eastAsia"/>
          <w:rtl/>
          <w:lang w:val="en" w:bidi="ar-JO"/>
        </w:rPr>
        <w:t>ة</w:t>
      </w:r>
      <w:r w:rsidRPr="00257641">
        <w:rPr>
          <w:rFonts w:cs="Calibri"/>
          <w:rtl/>
          <w:lang w:val="en" w:bidi="ar-JO"/>
        </w:rPr>
        <w:t>. فيما يلي وصف لمعايير التأهيل:</w:t>
      </w:r>
    </w:p>
    <w:p w:rsidR="009C2670" w:rsidRDefault="009C2670" w:rsidP="009C2670">
      <w:pPr>
        <w:pStyle w:val="ListParagraph"/>
        <w:numPr>
          <w:ilvl w:val="0"/>
          <w:numId w:val="1"/>
        </w:numPr>
        <w:bidi/>
        <w:jc w:val="both"/>
        <w:rPr>
          <w:rFonts w:cstheme="minorHAnsi"/>
          <w:lang w:val="en" w:bidi="ar-JO"/>
        </w:rPr>
      </w:pPr>
      <w:r>
        <w:rPr>
          <w:rFonts w:cstheme="minorHAnsi" w:hint="cs"/>
          <w:u w:val="single"/>
          <w:rtl/>
          <w:lang w:val="en"/>
        </w:rPr>
        <w:t>المعايير القانونية:</w:t>
      </w:r>
    </w:p>
    <w:p w:rsidR="009C2670" w:rsidRDefault="009C2670" w:rsidP="009C2670">
      <w:pPr>
        <w:pStyle w:val="ListParagraph"/>
        <w:bidi/>
        <w:ind w:left="1147"/>
        <w:jc w:val="both"/>
        <w:rPr>
          <w:rFonts w:cstheme="minorHAnsi"/>
          <w:lang w:val="en" w:bidi="ar-JO"/>
        </w:rPr>
      </w:pPr>
      <w:r>
        <w:rPr>
          <w:rFonts w:cstheme="minorHAnsi" w:hint="cs"/>
          <w:rtl/>
          <w:lang w:val="en"/>
        </w:rPr>
        <w:t xml:space="preserve">الوثائق / التصريحات التالية </w:t>
      </w:r>
      <w:r>
        <w:rPr>
          <w:rFonts w:cstheme="minorHAnsi" w:hint="cs"/>
          <w:rtl/>
          <w:lang w:val="en" w:bidi="ar-JO"/>
        </w:rPr>
        <w:t>ال</w:t>
      </w:r>
      <w:r>
        <w:rPr>
          <w:rFonts w:cstheme="minorHAnsi" w:hint="cs"/>
          <w:rtl/>
          <w:lang w:val="en"/>
        </w:rPr>
        <w:t>مطلوبة من كل شركة من مقدمي الطلبات</w:t>
      </w:r>
      <w:r>
        <w:rPr>
          <w:rFonts w:cstheme="minorHAnsi"/>
          <w:lang w:val="en" w:bidi="ar-JO"/>
        </w:rPr>
        <w:t>:</w:t>
      </w:r>
    </w:p>
    <w:p w:rsidR="009C2670" w:rsidRDefault="009C2670" w:rsidP="009C2670">
      <w:pPr>
        <w:pStyle w:val="ListParagraph"/>
        <w:numPr>
          <w:ilvl w:val="1"/>
          <w:numId w:val="1"/>
        </w:numPr>
        <w:bidi/>
        <w:jc w:val="both"/>
        <w:rPr>
          <w:rFonts w:cstheme="minorHAnsi"/>
          <w:lang w:val="en" w:bidi="ar-JO"/>
        </w:rPr>
      </w:pPr>
      <w:r>
        <w:rPr>
          <w:rFonts w:cstheme="minorHAnsi"/>
          <w:lang w:val="en" w:bidi="ar-JO"/>
        </w:rPr>
        <w:t xml:space="preserve"> </w:t>
      </w:r>
      <w:r>
        <w:rPr>
          <w:rFonts w:cstheme="minorHAnsi" w:hint="cs"/>
          <w:rtl/>
          <w:lang w:val="en"/>
        </w:rPr>
        <w:t>إسم الشركة الكامل ونوع وعنوان المقر.</w:t>
      </w:r>
    </w:p>
    <w:p w:rsidR="009C2670" w:rsidRDefault="009C2670" w:rsidP="00B26D4A">
      <w:pPr>
        <w:pStyle w:val="ListParagraph"/>
        <w:numPr>
          <w:ilvl w:val="1"/>
          <w:numId w:val="1"/>
        </w:numPr>
        <w:bidi/>
        <w:jc w:val="both"/>
        <w:rPr>
          <w:rFonts w:cstheme="minorHAnsi"/>
          <w:lang w:val="en" w:bidi="ar-JO"/>
        </w:rPr>
      </w:pPr>
      <w:r>
        <w:rPr>
          <w:rFonts w:cstheme="minorHAnsi"/>
          <w:lang w:val="en" w:bidi="ar-JO"/>
        </w:rPr>
        <w:t xml:space="preserve"> </w:t>
      </w:r>
      <w:r w:rsidR="00B26D4A">
        <w:rPr>
          <w:rFonts w:cstheme="minorHAnsi" w:hint="cs"/>
          <w:rtl/>
          <w:lang w:val="en" w:bidi="ar-JO"/>
        </w:rPr>
        <w:t>عقد</w:t>
      </w:r>
      <w:r>
        <w:rPr>
          <w:rFonts w:cstheme="minorHAnsi" w:hint="cs"/>
          <w:rtl/>
          <w:lang w:val="en"/>
        </w:rPr>
        <w:t xml:space="preserve"> التأسيس</w:t>
      </w:r>
      <w:r>
        <w:rPr>
          <w:rFonts w:cstheme="minorHAnsi" w:hint="cs"/>
          <w:rtl/>
          <w:lang w:val="en" w:bidi="ar-JO"/>
        </w:rPr>
        <w:t>.</w:t>
      </w:r>
    </w:p>
    <w:p w:rsidR="009C2670" w:rsidRDefault="009C2670" w:rsidP="009C2670">
      <w:pPr>
        <w:pStyle w:val="ListParagraph"/>
        <w:numPr>
          <w:ilvl w:val="1"/>
          <w:numId w:val="1"/>
        </w:numPr>
        <w:bidi/>
        <w:jc w:val="both"/>
        <w:rPr>
          <w:rFonts w:cstheme="minorHAnsi"/>
          <w:lang w:val="en" w:bidi="ar-JO"/>
        </w:rPr>
      </w:pPr>
      <w:r>
        <w:rPr>
          <w:rFonts w:cstheme="minorHAnsi" w:hint="cs"/>
          <w:rtl/>
          <w:lang w:val="en"/>
        </w:rPr>
        <w:t>تأكيد من مسجل الشركات بأن الشركة لا تزال تعمل ولم يتم تصفيتها أو حلها أو إفلاسها</w:t>
      </w:r>
      <w:r>
        <w:rPr>
          <w:rFonts w:cstheme="minorHAnsi" w:hint="cs"/>
          <w:rtl/>
          <w:lang w:val="en" w:bidi="ar-JO"/>
        </w:rPr>
        <w:t>.</w:t>
      </w:r>
    </w:p>
    <w:p w:rsidR="009C2670" w:rsidRDefault="009C2670" w:rsidP="009C2670">
      <w:pPr>
        <w:pStyle w:val="ListParagraph"/>
        <w:numPr>
          <w:ilvl w:val="1"/>
          <w:numId w:val="1"/>
        </w:numPr>
        <w:bidi/>
        <w:jc w:val="both"/>
        <w:rPr>
          <w:rFonts w:cstheme="minorHAnsi"/>
          <w:lang w:val="en" w:bidi="ar-JO"/>
        </w:rPr>
      </w:pPr>
      <w:r>
        <w:rPr>
          <w:rFonts w:cstheme="minorHAnsi" w:hint="cs"/>
          <w:rtl/>
          <w:lang w:val="en"/>
        </w:rPr>
        <w:t>عقد ال</w:t>
      </w:r>
      <w:r>
        <w:rPr>
          <w:rFonts w:cstheme="minorHAnsi" w:hint="cs"/>
          <w:rtl/>
          <w:lang w:val="en" w:bidi="ar-JO"/>
        </w:rPr>
        <w:t>إئ</w:t>
      </w:r>
      <w:r>
        <w:rPr>
          <w:rFonts w:cstheme="minorHAnsi" w:hint="cs"/>
          <w:rtl/>
          <w:lang w:val="en"/>
        </w:rPr>
        <w:t>تلاف، عند الإقتضاء، وملكية كل شريك في الإئتلاف</w:t>
      </w:r>
      <w:r>
        <w:rPr>
          <w:rFonts w:cstheme="minorHAnsi"/>
          <w:lang w:val="en"/>
        </w:rPr>
        <w:t>.</w:t>
      </w:r>
    </w:p>
    <w:p w:rsidR="009C2670" w:rsidRDefault="009C2670" w:rsidP="009C2670">
      <w:pPr>
        <w:pStyle w:val="ListParagraph"/>
        <w:numPr>
          <w:ilvl w:val="1"/>
          <w:numId w:val="1"/>
        </w:numPr>
        <w:bidi/>
        <w:jc w:val="both"/>
        <w:rPr>
          <w:rFonts w:cstheme="minorHAnsi"/>
          <w:lang w:val="en" w:bidi="ar-JO"/>
        </w:rPr>
      </w:pPr>
      <w:r>
        <w:rPr>
          <w:rFonts w:cstheme="minorHAnsi" w:hint="cs"/>
          <w:rtl/>
          <w:lang w:val="en"/>
        </w:rPr>
        <w:t>شهادة براءة ذمة من الضرائب صادرة من الدول التي تعمل فيها الشركة</w:t>
      </w:r>
      <w:r>
        <w:rPr>
          <w:rFonts w:cstheme="minorHAnsi" w:hint="cs"/>
          <w:rtl/>
          <w:lang w:val="en" w:bidi="ar-JO"/>
        </w:rPr>
        <w:t>.</w:t>
      </w:r>
    </w:p>
    <w:p w:rsidR="009C2670" w:rsidRDefault="009C2670" w:rsidP="009C2670">
      <w:pPr>
        <w:pStyle w:val="ListParagraph"/>
        <w:numPr>
          <w:ilvl w:val="1"/>
          <w:numId w:val="1"/>
        </w:numPr>
        <w:bidi/>
        <w:jc w:val="both"/>
        <w:rPr>
          <w:rFonts w:cstheme="minorHAnsi"/>
          <w:lang w:val="en" w:bidi="ar-JO"/>
        </w:rPr>
      </w:pPr>
      <w:r>
        <w:rPr>
          <w:rFonts w:cstheme="minorHAnsi" w:hint="cs"/>
          <w:rtl/>
          <w:lang w:val="en"/>
        </w:rPr>
        <w:t>سجل المشاريع السابقة بما في ذلك المشاريع المتوقفة (مكتملة وغير مكتملة) مع وصف لهذه المشاريع</w:t>
      </w:r>
      <w:r>
        <w:rPr>
          <w:rFonts w:cstheme="minorHAnsi" w:hint="cs"/>
          <w:rtl/>
          <w:lang w:val="en" w:bidi="ar-JO"/>
        </w:rPr>
        <w:t>.</w:t>
      </w:r>
    </w:p>
    <w:p w:rsidR="009C2670" w:rsidRDefault="009C2670" w:rsidP="009C2670">
      <w:pPr>
        <w:pStyle w:val="ListParagraph"/>
        <w:numPr>
          <w:ilvl w:val="1"/>
          <w:numId w:val="1"/>
        </w:numPr>
        <w:bidi/>
        <w:jc w:val="both"/>
        <w:rPr>
          <w:rFonts w:cstheme="minorHAnsi"/>
          <w:lang w:val="en" w:bidi="ar-JO"/>
        </w:rPr>
      </w:pPr>
      <w:r>
        <w:rPr>
          <w:rFonts w:cstheme="minorHAnsi" w:hint="cs"/>
          <w:rtl/>
          <w:lang w:val="en"/>
        </w:rPr>
        <w:t>قائمة بجميع الدعاوى القضائية كانت الشركة طرفاً فيها (سواء كمدعى عليه أو كمدعي) والتحكيم، ونتائج مثل هذه الدعاوى القضائية والتحكيم</w:t>
      </w:r>
      <w:r>
        <w:rPr>
          <w:rFonts w:cstheme="minorHAnsi" w:hint="cs"/>
          <w:rtl/>
          <w:lang w:val="en" w:bidi="ar-JO"/>
        </w:rPr>
        <w:t>.</w:t>
      </w:r>
    </w:p>
    <w:p w:rsidR="009C2670" w:rsidRDefault="009C2670" w:rsidP="009C2670">
      <w:pPr>
        <w:pStyle w:val="ListParagraph"/>
        <w:numPr>
          <w:ilvl w:val="1"/>
          <w:numId w:val="1"/>
        </w:numPr>
        <w:bidi/>
        <w:jc w:val="both"/>
        <w:rPr>
          <w:rFonts w:cstheme="minorHAnsi"/>
          <w:lang w:val="en" w:bidi="ar-JO"/>
        </w:rPr>
      </w:pPr>
      <w:r>
        <w:rPr>
          <w:rFonts w:cstheme="minorHAnsi" w:hint="cs"/>
          <w:rtl/>
          <w:lang w:val="en"/>
        </w:rPr>
        <w:t>وثائق الشركة الأصلية المصادق عليها من السلطات المعنية</w:t>
      </w:r>
      <w:r>
        <w:rPr>
          <w:rFonts w:cstheme="minorHAnsi" w:hint="cs"/>
          <w:rtl/>
          <w:lang w:val="en" w:bidi="ar-JO"/>
        </w:rPr>
        <w:t>.</w:t>
      </w:r>
    </w:p>
    <w:p w:rsidR="009C2670" w:rsidRDefault="009C2670" w:rsidP="009C2670">
      <w:pPr>
        <w:pStyle w:val="ListParagraph"/>
        <w:bidi/>
        <w:ind w:left="1867"/>
        <w:jc w:val="both"/>
        <w:rPr>
          <w:rFonts w:cstheme="minorHAnsi"/>
          <w:lang w:val="en" w:bidi="ar-JO"/>
        </w:rPr>
      </w:pPr>
    </w:p>
    <w:p w:rsidR="009C2670" w:rsidRDefault="009C2670" w:rsidP="009C2670">
      <w:pPr>
        <w:pStyle w:val="ListParagraph"/>
        <w:numPr>
          <w:ilvl w:val="0"/>
          <w:numId w:val="1"/>
        </w:numPr>
        <w:bidi/>
        <w:jc w:val="both"/>
        <w:rPr>
          <w:rFonts w:cstheme="minorHAnsi"/>
          <w:u w:val="single"/>
          <w:lang w:val="en"/>
        </w:rPr>
      </w:pPr>
      <w:r>
        <w:rPr>
          <w:rFonts w:cstheme="minorHAnsi" w:hint="cs"/>
          <w:u w:val="single"/>
          <w:rtl/>
          <w:lang w:val="en"/>
        </w:rPr>
        <w:t>المعايير الفنية والتدريبية:</w:t>
      </w:r>
    </w:p>
    <w:p w:rsidR="009C2670" w:rsidRDefault="009C2670" w:rsidP="009C2670">
      <w:pPr>
        <w:pStyle w:val="ListParagraph"/>
        <w:numPr>
          <w:ilvl w:val="0"/>
          <w:numId w:val="2"/>
        </w:numPr>
        <w:bidi/>
        <w:jc w:val="both"/>
        <w:rPr>
          <w:rFonts w:cstheme="minorHAnsi"/>
          <w:rtl/>
          <w:lang w:bidi="ar-JO"/>
        </w:rPr>
      </w:pPr>
      <w:r>
        <w:rPr>
          <w:rFonts w:cstheme="minorHAnsi" w:hint="cs"/>
          <w:rtl/>
          <w:lang w:bidi="ar-JO"/>
        </w:rPr>
        <w:t>عدد المشاريع الإستكشافية والتطويرية التي تدار من قبل الشركة بصفة مشغل أو غير مشغل.</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إذا كان لدى الشركة مشروع أو مشاريع إستكشافية أو تطويرية في الرقع البحرية بصفة مشغل أو غير مشغل.</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إجمالي الإنتاج المدار من قبل الشركة.</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مقدار المخزون النفطي المكافئ للشركة.</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التقييم النوعي لخبرة الشركة في مجال التحديات التقنية.</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مستوى الإستثمار في فعاليات بحوث الإستخراج التطبيقية.</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عدد الشهادات التقديرية في مجال العمل أو براءات الإختراع.</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الدورات التي تعقدها الشركة لمنتسبيها والدورات التي تنظمها الشركة للبلد المضيف بموجب عقود الإستكشاف والتطوير.</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إذا كان للشركة معهد أو مركز تدريبي.</w:t>
      </w:r>
    </w:p>
    <w:p w:rsidR="009C2670" w:rsidRDefault="009C2670" w:rsidP="009C2670">
      <w:pPr>
        <w:pStyle w:val="ListParagraph"/>
        <w:bidi/>
        <w:ind w:left="1440"/>
        <w:jc w:val="both"/>
        <w:rPr>
          <w:rFonts w:cstheme="minorHAnsi"/>
          <w:lang w:bidi="ar-JO"/>
        </w:rPr>
      </w:pPr>
    </w:p>
    <w:p w:rsidR="009C2670" w:rsidRDefault="009C2670" w:rsidP="009C2670">
      <w:pPr>
        <w:pStyle w:val="ListParagraph"/>
        <w:numPr>
          <w:ilvl w:val="0"/>
          <w:numId w:val="3"/>
        </w:numPr>
        <w:bidi/>
        <w:jc w:val="both"/>
        <w:rPr>
          <w:rFonts w:cstheme="minorHAnsi"/>
          <w:u w:val="single"/>
          <w:rtl/>
          <w:lang w:val="en"/>
        </w:rPr>
      </w:pPr>
      <w:r>
        <w:rPr>
          <w:rFonts w:cstheme="minorHAnsi" w:hint="cs"/>
          <w:u w:val="single"/>
          <w:rtl/>
          <w:lang w:val="en"/>
        </w:rPr>
        <w:t>المعايير المالية</w:t>
      </w:r>
    </w:p>
    <w:p w:rsidR="009C2670" w:rsidRDefault="009C2670" w:rsidP="009C2670">
      <w:pPr>
        <w:pStyle w:val="ListParagraph"/>
        <w:numPr>
          <w:ilvl w:val="0"/>
          <w:numId w:val="2"/>
        </w:numPr>
        <w:bidi/>
        <w:jc w:val="both"/>
        <w:rPr>
          <w:rFonts w:cstheme="minorHAnsi"/>
          <w:rtl/>
          <w:lang w:bidi="ar-JO"/>
        </w:rPr>
      </w:pPr>
      <w:r>
        <w:rPr>
          <w:rFonts w:cstheme="minorHAnsi" w:hint="cs"/>
          <w:rtl/>
          <w:lang w:bidi="ar-JO"/>
        </w:rPr>
        <w:t>التقرير السنوي متضمناً البيانات المالية الشاملة مصدقة ومدققة من قبل محاسب قانوني مستقل للثلاث سنوات السابقة.</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المستوى المالي المحدد من قبل بيوت الخبرة والإستشارة المختصة وحسب التصنيف العالمي لبيوت الخبرة والإستشارة للديون طويلة الأمد.</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المبالغ المستثمرة في عمليات الإستكشاف والتطوير البترولية.</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إجمالي الموجودات للشركة.</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صافي الدخل ونسبة التداول.</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حصة السهم العادي من الأرباح المتحققة.</w:t>
      </w:r>
    </w:p>
    <w:p w:rsidR="009C2670" w:rsidRDefault="009C2670" w:rsidP="009C2670">
      <w:pPr>
        <w:pStyle w:val="ListParagraph"/>
        <w:bidi/>
        <w:ind w:left="1440"/>
        <w:jc w:val="both"/>
        <w:rPr>
          <w:rFonts w:cstheme="minorHAnsi"/>
          <w:lang w:bidi="ar-JO"/>
        </w:rPr>
      </w:pPr>
    </w:p>
    <w:p w:rsidR="009C2670" w:rsidRDefault="009C2670" w:rsidP="009C2670">
      <w:pPr>
        <w:pStyle w:val="ListParagraph"/>
        <w:numPr>
          <w:ilvl w:val="0"/>
          <w:numId w:val="3"/>
        </w:numPr>
        <w:bidi/>
        <w:jc w:val="both"/>
        <w:rPr>
          <w:rFonts w:cstheme="minorHAnsi"/>
          <w:u w:val="single"/>
          <w:lang w:val="en"/>
        </w:rPr>
      </w:pPr>
      <w:r>
        <w:rPr>
          <w:rFonts w:cstheme="minorHAnsi" w:hint="cs"/>
          <w:u w:val="single"/>
          <w:rtl/>
          <w:lang w:val="en"/>
        </w:rPr>
        <w:t xml:space="preserve">معايير الصحة والسلامة والبيئة: </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وثائق سياسة الصحة المهنية والسلامة وحماية البيئة.</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وثائق للمعايير العالمية المطبقة آيزو (آيزو 14001 – 18001).</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وثائق توضح خطط الطوارئ المعتمدة لدى الشركة وآلية تنفيذها.</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وثيقة سياسة إدارة المخلفات.</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وثائق عن الصحة والسلامة المهنية المطبقة لدى الشركة وإجراءات تنفيذها.</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وثائق توضح خطط الطوارئ المعتمدة لدى الشركة وآلية تنفيذها.</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عدد الحوادث البشرية المميتة من جراء العمل.</w:t>
      </w:r>
    </w:p>
    <w:p w:rsidR="009C2670" w:rsidRDefault="009C2670" w:rsidP="009C2670">
      <w:pPr>
        <w:pStyle w:val="ListParagraph"/>
        <w:numPr>
          <w:ilvl w:val="0"/>
          <w:numId w:val="2"/>
        </w:numPr>
        <w:bidi/>
        <w:jc w:val="both"/>
        <w:rPr>
          <w:rFonts w:cstheme="minorHAnsi"/>
          <w:lang w:bidi="ar-JO"/>
        </w:rPr>
      </w:pPr>
      <w:r>
        <w:rPr>
          <w:rFonts w:cstheme="minorHAnsi" w:hint="cs"/>
          <w:rtl/>
          <w:lang w:bidi="ar-JO"/>
        </w:rPr>
        <w:t>عدد حوادث التلوث البيئي التي تؤثر وتلوث الهواء والتربة والمياه.</w:t>
      </w:r>
    </w:p>
    <w:p w:rsidR="009C2670" w:rsidRDefault="009C2670" w:rsidP="009C2670">
      <w:pPr>
        <w:bidi/>
        <w:jc w:val="both"/>
        <w:rPr>
          <w:rFonts w:cstheme="minorHAnsi"/>
          <w:lang w:bidi="ar-JO"/>
        </w:rPr>
      </w:pPr>
    </w:p>
    <w:p w:rsidR="009C2670" w:rsidRDefault="009C2670" w:rsidP="009C2670">
      <w:pPr>
        <w:bidi/>
        <w:jc w:val="both"/>
        <w:rPr>
          <w:rFonts w:cstheme="minorHAnsi"/>
          <w:rtl/>
          <w:lang w:val="en" w:bidi="ar-JO"/>
        </w:rPr>
      </w:pPr>
      <w:r>
        <w:rPr>
          <w:rFonts w:cstheme="minorHAnsi" w:hint="cs"/>
          <w:rtl/>
          <w:lang w:val="en" w:bidi="ar-JO"/>
        </w:rPr>
        <w:t>يتم إستبعاد الشركات في مرحلة التأهيل لعدم إمكانية بعضها من إجتياز معايير التأهيل كون الكفاءة الفنية وملاءمتها المالية لا تتناسب مع حجم وطبيعة الحقول المشمولة بجولة التراخيص، وبالتالي لا يسمح لها بالمشاركة في مناقصة جولة التراخيص</w:t>
      </w:r>
      <w:r>
        <w:rPr>
          <w:rFonts w:cstheme="minorHAnsi"/>
          <w:lang w:val="en" w:bidi="ar-JO"/>
        </w:rPr>
        <w:t>.</w:t>
      </w:r>
    </w:p>
    <w:p w:rsidR="00257641" w:rsidRPr="00257641" w:rsidRDefault="00257641" w:rsidP="00257641">
      <w:pPr>
        <w:bidi/>
        <w:jc w:val="both"/>
        <w:rPr>
          <w:rFonts w:cstheme="minorHAnsi"/>
          <w:lang w:bidi="ar-JO"/>
        </w:rPr>
      </w:pPr>
      <w:r w:rsidRPr="00257641">
        <w:rPr>
          <w:rFonts w:cs="Calibri"/>
          <w:rtl/>
          <w:lang w:bidi="ar-JO"/>
        </w:rPr>
        <w:t xml:space="preserve">يتم استخدام نفس المعايير الموضحة أعلاه </w:t>
      </w:r>
      <w:r>
        <w:rPr>
          <w:rFonts w:cs="Calibri" w:hint="cs"/>
          <w:rtl/>
          <w:lang w:bidi="ar-JO"/>
        </w:rPr>
        <w:t xml:space="preserve">عند </w:t>
      </w:r>
      <w:r w:rsidRPr="00257641">
        <w:rPr>
          <w:rFonts w:cs="Calibri"/>
          <w:rtl/>
          <w:lang w:bidi="ar-JO"/>
        </w:rPr>
        <w:t>نقل</w:t>
      </w:r>
      <w:r>
        <w:rPr>
          <w:rFonts w:cs="Calibri" w:hint="cs"/>
          <w:rtl/>
          <w:lang w:bidi="ar-JO"/>
        </w:rPr>
        <w:t xml:space="preserve"> حصص</w:t>
      </w:r>
      <w:r w:rsidRPr="00257641">
        <w:rPr>
          <w:rFonts w:cs="Calibri"/>
          <w:rtl/>
          <w:lang w:bidi="ar-JO"/>
        </w:rPr>
        <w:t xml:space="preserve"> الملكية في تراخيص النفط والغاز بين شركات النفط العالمية.</w:t>
      </w:r>
    </w:p>
    <w:p w:rsidR="009C2670" w:rsidRDefault="009C2670" w:rsidP="009C2670">
      <w:pPr>
        <w:bidi/>
        <w:jc w:val="both"/>
        <w:rPr>
          <w:rFonts w:cstheme="minorHAnsi"/>
          <w:lang w:val="en" w:bidi="ar-JO"/>
        </w:rPr>
      </w:pPr>
      <w:r>
        <w:rPr>
          <w:rFonts w:cstheme="minorHAnsi" w:hint="cs"/>
          <w:rtl/>
          <w:lang w:val="en" w:bidi="ar-JO"/>
        </w:rPr>
        <w:t>ووفقاً لـ</w:t>
      </w:r>
      <w:r>
        <w:rPr>
          <w:rFonts w:cstheme="minorHAnsi" w:hint="cs"/>
          <w:rtl/>
          <w:lang w:bidi="ar-JO"/>
        </w:rPr>
        <w:t>دائرة العقود والتراخيص البترولية</w:t>
      </w:r>
      <w:r>
        <w:rPr>
          <w:rFonts w:cstheme="minorHAnsi" w:hint="cs"/>
          <w:rtl/>
          <w:lang w:val="en" w:bidi="ar-JO"/>
        </w:rPr>
        <w:t>، لا يتم نشر الأوزان المختلفة المستخدمة في تقييم المعايير المذكورة أعلاه، حيث أنها تعتبر معلومات سرية.</w:t>
      </w:r>
    </w:p>
    <w:p w:rsidR="00553B43" w:rsidRDefault="00E5162A"/>
    <w:sectPr w:rsidR="00553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46B24"/>
    <w:multiLevelType w:val="hybridMultilevel"/>
    <w:tmpl w:val="D980B834"/>
    <w:lvl w:ilvl="0" w:tplc="04090003">
      <w:start w:val="1"/>
      <w:numFmt w:val="bullet"/>
      <w:lvlText w:val="o"/>
      <w:lvlJc w:val="left"/>
      <w:pPr>
        <w:ind w:left="1147" w:hanging="360"/>
      </w:pPr>
      <w:rPr>
        <w:rFonts w:ascii="Courier New" w:hAnsi="Courier New" w:cs="Courier New" w:hint="default"/>
      </w:rPr>
    </w:lvl>
    <w:lvl w:ilvl="1" w:tplc="04090001">
      <w:start w:val="1"/>
      <w:numFmt w:val="bullet"/>
      <w:lvlText w:val=""/>
      <w:lvlJc w:val="left"/>
      <w:pPr>
        <w:ind w:left="1867" w:hanging="360"/>
      </w:pPr>
      <w:rPr>
        <w:rFonts w:ascii="Symbol" w:hAnsi="Symbol" w:hint="default"/>
      </w:rPr>
    </w:lvl>
    <w:lvl w:ilvl="2" w:tplc="04090005">
      <w:start w:val="1"/>
      <w:numFmt w:val="bullet"/>
      <w:lvlText w:val=""/>
      <w:lvlJc w:val="left"/>
      <w:pPr>
        <w:ind w:left="2587" w:hanging="360"/>
      </w:pPr>
      <w:rPr>
        <w:rFonts w:ascii="Wingdings" w:hAnsi="Wingdings" w:hint="default"/>
      </w:rPr>
    </w:lvl>
    <w:lvl w:ilvl="3" w:tplc="04090001">
      <w:start w:val="1"/>
      <w:numFmt w:val="bullet"/>
      <w:lvlText w:val=""/>
      <w:lvlJc w:val="left"/>
      <w:pPr>
        <w:ind w:left="3307" w:hanging="360"/>
      </w:pPr>
      <w:rPr>
        <w:rFonts w:ascii="Symbol" w:hAnsi="Symbol" w:hint="default"/>
      </w:rPr>
    </w:lvl>
    <w:lvl w:ilvl="4" w:tplc="04090003">
      <w:start w:val="1"/>
      <w:numFmt w:val="bullet"/>
      <w:lvlText w:val="o"/>
      <w:lvlJc w:val="left"/>
      <w:pPr>
        <w:ind w:left="4027" w:hanging="360"/>
      </w:pPr>
      <w:rPr>
        <w:rFonts w:ascii="Courier New" w:hAnsi="Courier New" w:cs="Courier New" w:hint="default"/>
      </w:rPr>
    </w:lvl>
    <w:lvl w:ilvl="5" w:tplc="04090005">
      <w:start w:val="1"/>
      <w:numFmt w:val="bullet"/>
      <w:lvlText w:val=""/>
      <w:lvlJc w:val="left"/>
      <w:pPr>
        <w:ind w:left="4747" w:hanging="360"/>
      </w:pPr>
      <w:rPr>
        <w:rFonts w:ascii="Wingdings" w:hAnsi="Wingdings" w:hint="default"/>
      </w:rPr>
    </w:lvl>
    <w:lvl w:ilvl="6" w:tplc="04090001">
      <w:start w:val="1"/>
      <w:numFmt w:val="bullet"/>
      <w:lvlText w:val=""/>
      <w:lvlJc w:val="left"/>
      <w:pPr>
        <w:ind w:left="5467" w:hanging="360"/>
      </w:pPr>
      <w:rPr>
        <w:rFonts w:ascii="Symbol" w:hAnsi="Symbol" w:hint="default"/>
      </w:rPr>
    </w:lvl>
    <w:lvl w:ilvl="7" w:tplc="04090003">
      <w:start w:val="1"/>
      <w:numFmt w:val="bullet"/>
      <w:lvlText w:val="o"/>
      <w:lvlJc w:val="left"/>
      <w:pPr>
        <w:ind w:left="6187" w:hanging="360"/>
      </w:pPr>
      <w:rPr>
        <w:rFonts w:ascii="Courier New" w:hAnsi="Courier New" w:cs="Courier New" w:hint="default"/>
      </w:rPr>
    </w:lvl>
    <w:lvl w:ilvl="8" w:tplc="04090005">
      <w:start w:val="1"/>
      <w:numFmt w:val="bullet"/>
      <w:lvlText w:val=""/>
      <w:lvlJc w:val="left"/>
      <w:pPr>
        <w:ind w:left="6907" w:hanging="360"/>
      </w:pPr>
      <w:rPr>
        <w:rFonts w:ascii="Wingdings" w:hAnsi="Wingdings" w:hint="default"/>
      </w:rPr>
    </w:lvl>
  </w:abstractNum>
  <w:abstractNum w:abstractNumId="1" w15:restartNumberingAfterBreak="0">
    <w:nsid w:val="1D0C1997"/>
    <w:multiLevelType w:val="hybridMultilevel"/>
    <w:tmpl w:val="1F9ADCC0"/>
    <w:lvl w:ilvl="0" w:tplc="CF6C1D16">
      <w:start w:val="1"/>
      <w:numFmt w:val="bullet"/>
      <w:lvlText w:val="-"/>
      <w:lvlJc w:val="left"/>
      <w:pPr>
        <w:ind w:left="144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5186254"/>
    <w:multiLevelType w:val="hybridMultilevel"/>
    <w:tmpl w:val="D80E20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70"/>
    <w:rsid w:val="001C527F"/>
    <w:rsid w:val="00257641"/>
    <w:rsid w:val="009C2670"/>
    <w:rsid w:val="00B26D4A"/>
    <w:rsid w:val="00C53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FA3B7-98C2-4D91-86ED-8AF9B00A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67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Citation List Char,본문(내용) Char,List Paragraph (numbered (a)) Char,Bullets Char,Use Case List Paragraph Char,Medium Grid 1 - Accent 21 Char,References Char,Resume Title Char,List bullets Char,Bullet paras Char,Heading 1.1 Char"/>
    <w:link w:val="ListParagraph"/>
    <w:uiPriority w:val="34"/>
    <w:locked/>
    <w:rsid w:val="009C2670"/>
  </w:style>
  <w:style w:type="paragraph" w:styleId="ListParagraph">
    <w:name w:val="List Paragraph"/>
    <w:aliases w:val="Citation List,본문(내용),List Paragraph (numbered (a)),Bullets,Use Case List Paragraph,Medium Grid 1 - Accent 21,References,Resume Title,List bullets,Bullet paras,Heading 1.1,ANNEX,List Paragraph1,List Paragraph2,List Paragraph Char Char Char"/>
    <w:basedOn w:val="Normal"/>
    <w:link w:val="ListParagraphChar"/>
    <w:uiPriority w:val="34"/>
    <w:qFormat/>
    <w:rsid w:val="009C2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20766">
      <w:bodyDiv w:val="1"/>
      <w:marLeft w:val="0"/>
      <w:marRight w:val="0"/>
      <w:marTop w:val="0"/>
      <w:marBottom w:val="0"/>
      <w:divBdr>
        <w:top w:val="none" w:sz="0" w:space="0" w:color="auto"/>
        <w:left w:val="none" w:sz="0" w:space="0" w:color="auto"/>
        <w:bottom w:val="none" w:sz="0" w:space="0" w:color="auto"/>
        <w:right w:val="none" w:sz="0" w:space="0" w:color="auto"/>
      </w:divBdr>
    </w:div>
    <w:div w:id="789469449">
      <w:bodyDiv w:val="1"/>
      <w:marLeft w:val="0"/>
      <w:marRight w:val="0"/>
      <w:marTop w:val="0"/>
      <w:marBottom w:val="0"/>
      <w:divBdr>
        <w:top w:val="none" w:sz="0" w:space="0" w:color="auto"/>
        <w:left w:val="none" w:sz="0" w:space="0" w:color="auto"/>
        <w:bottom w:val="none" w:sz="0" w:space="0" w:color="auto"/>
        <w:right w:val="none" w:sz="0" w:space="0" w:color="auto"/>
      </w:divBdr>
    </w:div>
    <w:div w:id="15200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 Atiyeh</dc:creator>
  <cp:keywords/>
  <dc:description/>
  <cp:lastModifiedBy>Mays Atiyeh</cp:lastModifiedBy>
  <cp:revision>2</cp:revision>
  <dcterms:created xsi:type="dcterms:W3CDTF">2019-04-07T08:18:00Z</dcterms:created>
  <dcterms:modified xsi:type="dcterms:W3CDTF">2019-04-07T09:56:00Z</dcterms:modified>
</cp:coreProperties>
</file>